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E4D" w:rsidRDefault="006058A8">
      <w:pPr>
        <w:jc w:val="center"/>
        <w:rPr>
          <w:rFonts w:ascii="Verdana" w:hAnsi="Verdana" w:cs="Verdana"/>
          <w:sz w:val="32"/>
          <w:szCs w:val="32"/>
        </w:rPr>
      </w:pPr>
      <w:r>
        <w:rPr>
          <w:rFonts w:ascii="Verdana" w:hAnsi="Verdana" w:cs="Verdana"/>
          <w:sz w:val="32"/>
          <w:szCs w:val="32"/>
        </w:rPr>
        <w:t>Wat te doen bij  Ongewenst Gedrag</w:t>
      </w:r>
    </w:p>
    <w:p w:rsidR="00EB7E4D" w:rsidRDefault="006058A8">
      <w:pPr>
        <w:jc w:val="center"/>
        <w:rPr>
          <w:rFonts w:ascii="Verdana" w:hAnsi="Verdana" w:cs="Verdana"/>
          <w:sz w:val="20"/>
          <w:szCs w:val="20"/>
        </w:rPr>
      </w:pPr>
      <w:r>
        <w:rPr>
          <w:rFonts w:ascii="Verdana" w:hAnsi="Verdana" w:cs="Verdana"/>
          <w:sz w:val="32"/>
          <w:szCs w:val="32"/>
        </w:rPr>
        <w:t>binnen  IVN  Oost-Veluwezoom</w:t>
      </w:r>
    </w:p>
    <w:p w:rsidR="00EB7E4D" w:rsidRDefault="006058A8">
      <w:pPr>
        <w:jc w:val="center"/>
        <w:rPr>
          <w:rFonts w:ascii="Verdana" w:hAnsi="Verdana" w:cs="Verdana"/>
          <w:sz w:val="32"/>
          <w:szCs w:val="32"/>
        </w:rPr>
      </w:pPr>
      <w:r>
        <w:rPr>
          <w:rFonts w:ascii="Verdana" w:hAnsi="Verdana" w:cs="Verdana"/>
          <w:sz w:val="20"/>
          <w:szCs w:val="20"/>
        </w:rPr>
        <w:t>Versie 2016.</w:t>
      </w:r>
    </w:p>
    <w:p w:rsidR="00EB7E4D" w:rsidRDefault="006058A8">
      <w:pPr>
        <w:jc w:val="center"/>
        <w:rPr>
          <w:rFonts w:ascii="Verdana" w:hAnsi="Verdana" w:cs="Verdana"/>
          <w:sz w:val="32"/>
          <w:szCs w:val="32"/>
        </w:rPr>
      </w:pPr>
    </w:p>
    <w:p w:rsidR="00EB7E4D" w:rsidRDefault="006058A8">
      <w:pPr>
        <w:spacing w:line="276" w:lineRule="auto"/>
        <w:rPr>
          <w:rFonts w:ascii="Verdana" w:hAnsi="Verdana" w:cs="Verdana"/>
          <w:sz w:val="20"/>
          <w:szCs w:val="20"/>
        </w:rPr>
      </w:pPr>
      <w:r>
        <w:rPr>
          <w:rFonts w:ascii="Verdana" w:hAnsi="Verdana" w:cs="Verdana"/>
          <w:sz w:val="20"/>
          <w:szCs w:val="20"/>
        </w:rPr>
        <w:t>Aangezien onze vereniging activiteiten organiseert voor publiek, jong en oud, hebben we – op advies van het landelijk bestuur – beleid ontwikkeld bij ongewenst gedrag (waaronder s</w:t>
      </w:r>
      <w:r>
        <w:rPr>
          <w:rFonts w:ascii="Verdana" w:hAnsi="Verdana" w:cs="Verdana"/>
          <w:sz w:val="20"/>
          <w:szCs w:val="20"/>
        </w:rPr>
        <w:t>exueel misbruik) van IVN-leden. Omdat we ook werken met kinderen en soms met kwetsbare volwassenen willen we graag duidelijk zijn over wat men kan doen bij ongewenst gedrag van IVN-leden.</w:t>
      </w:r>
    </w:p>
    <w:p w:rsidR="00EB7E4D" w:rsidRDefault="006058A8">
      <w:pPr>
        <w:spacing w:line="276" w:lineRule="auto"/>
        <w:rPr>
          <w:rFonts w:ascii="Verdana" w:hAnsi="Verdana" w:cs="Verdana"/>
          <w:sz w:val="20"/>
          <w:szCs w:val="20"/>
        </w:rPr>
      </w:pPr>
      <w:r>
        <w:rPr>
          <w:rFonts w:ascii="Verdana" w:hAnsi="Verdana" w:cs="Verdana"/>
          <w:sz w:val="20"/>
          <w:szCs w:val="20"/>
        </w:rPr>
        <w:t>Ook in onze omgang met de natuur en met gebiedseigenaren en andere o</w:t>
      </w:r>
      <w:r>
        <w:rPr>
          <w:rFonts w:ascii="Verdana" w:hAnsi="Verdana" w:cs="Verdana"/>
          <w:sz w:val="20"/>
          <w:szCs w:val="20"/>
        </w:rPr>
        <w:t>rganisaties is al langer behoefte aan minimale gedragsnormen waar we elkaar  aan kunnen houden.</w:t>
      </w:r>
    </w:p>
    <w:p w:rsidR="00EB7E4D" w:rsidRDefault="006058A8">
      <w:pPr>
        <w:spacing w:line="276" w:lineRule="auto"/>
        <w:rPr>
          <w:rFonts w:ascii="Verdana" w:hAnsi="Verdana" w:cs="Verdana"/>
          <w:sz w:val="20"/>
          <w:szCs w:val="20"/>
        </w:rPr>
      </w:pPr>
    </w:p>
    <w:p w:rsidR="00EB7E4D" w:rsidRDefault="006058A8">
      <w:pPr>
        <w:spacing w:line="276" w:lineRule="auto"/>
        <w:rPr>
          <w:rFonts w:ascii="Verdana" w:hAnsi="Verdana" w:cs="Verdana"/>
          <w:sz w:val="20"/>
          <w:szCs w:val="20"/>
        </w:rPr>
      </w:pPr>
      <w:r>
        <w:rPr>
          <w:rFonts w:ascii="Verdana" w:hAnsi="Verdana" w:cs="Verdana"/>
          <w:sz w:val="20"/>
          <w:szCs w:val="20"/>
        </w:rPr>
        <w:t>Daarom heeft IVN Oost-Veluwezoom een gedragscode, die door actieve gidsen wordt onderschreven. Van alle schoolgidsen en de vertrouwenspersonen wordt ook een Ve</w:t>
      </w:r>
      <w:r>
        <w:rPr>
          <w:rFonts w:ascii="Verdana" w:hAnsi="Verdana" w:cs="Verdana"/>
          <w:sz w:val="20"/>
          <w:szCs w:val="20"/>
        </w:rPr>
        <w:t>rklaring Omtrent het Gedrag gevraagd.</w:t>
      </w:r>
    </w:p>
    <w:p w:rsidR="00EB7E4D" w:rsidRDefault="006058A8">
      <w:pPr>
        <w:spacing w:line="276" w:lineRule="auto"/>
        <w:rPr>
          <w:rFonts w:ascii="Verdana" w:hAnsi="Verdana" w:cs="Verdana"/>
          <w:sz w:val="20"/>
          <w:szCs w:val="20"/>
        </w:rPr>
      </w:pPr>
      <w:r>
        <w:rPr>
          <w:rFonts w:ascii="Verdana" w:hAnsi="Verdana" w:cs="Verdana"/>
          <w:sz w:val="20"/>
          <w:szCs w:val="20"/>
        </w:rPr>
        <w:t>Er is een klachtenprocedure waarbij de Vertrouwenspersonen een belangrijke rol spelen. Die procedure (het “protocol”) staat hierna vermeld.</w:t>
      </w:r>
    </w:p>
    <w:p w:rsidR="00EB7E4D" w:rsidRDefault="006058A8">
      <w:pPr>
        <w:spacing w:line="276" w:lineRule="auto"/>
        <w:rPr>
          <w:rFonts w:ascii="Verdana" w:hAnsi="Verdana" w:cs="Verdana"/>
          <w:sz w:val="20"/>
          <w:szCs w:val="20"/>
        </w:rPr>
      </w:pPr>
      <w:r>
        <w:rPr>
          <w:rFonts w:ascii="Verdana" w:hAnsi="Verdana" w:cs="Verdana"/>
          <w:sz w:val="20"/>
          <w:szCs w:val="20"/>
        </w:rPr>
        <w:t>Zowel de gedragscode als de namen van de Vertrouwenspersonen worden op de webs</w:t>
      </w:r>
      <w:r>
        <w:rPr>
          <w:rFonts w:ascii="Verdana" w:hAnsi="Verdana" w:cs="Verdana"/>
          <w:sz w:val="20"/>
          <w:szCs w:val="20"/>
        </w:rPr>
        <w:t>ite bekendgemaakt.</w:t>
      </w:r>
    </w:p>
    <w:p w:rsidR="00EB7E4D" w:rsidRDefault="006058A8">
      <w:pPr>
        <w:spacing w:line="276" w:lineRule="auto"/>
        <w:rPr>
          <w:rFonts w:ascii="Verdana" w:hAnsi="Verdana" w:cs="Verdana"/>
          <w:sz w:val="20"/>
          <w:szCs w:val="20"/>
        </w:rPr>
      </w:pPr>
    </w:p>
    <w:p w:rsidR="00EB7E4D" w:rsidRDefault="006058A8">
      <w:pPr>
        <w:spacing w:line="276" w:lineRule="auto"/>
        <w:rPr>
          <w:rFonts w:ascii="Verdana" w:hAnsi="Verdana" w:cs="Verdana"/>
          <w:sz w:val="20"/>
          <w:szCs w:val="20"/>
        </w:rPr>
      </w:pPr>
    </w:p>
    <w:p w:rsidR="00EB7E4D" w:rsidRDefault="006058A8">
      <w:pPr>
        <w:pStyle w:val="Lijstalinea"/>
        <w:numPr>
          <w:ilvl w:val="0"/>
          <w:numId w:val="2"/>
        </w:numPr>
        <w:spacing w:after="0"/>
        <w:rPr>
          <w:rFonts w:ascii="Verdana" w:hAnsi="Verdana" w:cs="Verdana"/>
          <w:sz w:val="20"/>
          <w:szCs w:val="20"/>
        </w:rPr>
      </w:pPr>
      <w:r>
        <w:rPr>
          <w:rFonts w:ascii="Verdana" w:hAnsi="Verdana" w:cs="Verdana"/>
          <w:sz w:val="24"/>
          <w:szCs w:val="24"/>
        </w:rPr>
        <w:t>Ongewenst gedrag</w:t>
      </w:r>
    </w:p>
    <w:p w:rsidR="00EB7E4D" w:rsidRDefault="006058A8">
      <w:pPr>
        <w:spacing w:line="276" w:lineRule="auto"/>
        <w:rPr>
          <w:rFonts w:ascii="Verdana" w:hAnsi="Verdana" w:cs="Verdana"/>
          <w:sz w:val="20"/>
          <w:szCs w:val="20"/>
        </w:rPr>
      </w:pPr>
    </w:p>
    <w:p w:rsidR="00EB7E4D" w:rsidRDefault="006058A8">
      <w:pPr>
        <w:spacing w:line="276" w:lineRule="auto"/>
        <w:rPr>
          <w:rFonts w:ascii="Verdana" w:hAnsi="Verdana" w:cs="Verdana"/>
          <w:sz w:val="20"/>
          <w:szCs w:val="20"/>
        </w:rPr>
      </w:pPr>
      <w:r>
        <w:rPr>
          <w:rFonts w:ascii="Verdana" w:hAnsi="Verdana" w:cs="Verdana"/>
          <w:sz w:val="20"/>
          <w:szCs w:val="20"/>
        </w:rPr>
        <w:t>Zowel andere IVN-ers, als ook mensen voor wie we gidsen èn mensen van organisaties waarmee we samenwerken kunnen het gedrag van één van ons als ongewenst beschouwen en zich daarover beklagen.</w:t>
      </w:r>
    </w:p>
    <w:p w:rsidR="00EB7E4D" w:rsidRDefault="006058A8">
      <w:pPr>
        <w:spacing w:line="276" w:lineRule="auto"/>
        <w:rPr>
          <w:rFonts w:ascii="Verdana" w:hAnsi="Verdana" w:cs="Verdana"/>
          <w:sz w:val="20"/>
          <w:szCs w:val="20"/>
        </w:rPr>
      </w:pPr>
      <w:r>
        <w:rPr>
          <w:rFonts w:ascii="Verdana" w:hAnsi="Verdana" w:cs="Verdana"/>
          <w:sz w:val="20"/>
          <w:szCs w:val="20"/>
        </w:rPr>
        <w:t>Ongewenst gedrag kan klei</w:t>
      </w:r>
      <w:r>
        <w:rPr>
          <w:rFonts w:ascii="Verdana" w:hAnsi="Verdana" w:cs="Verdana"/>
          <w:sz w:val="20"/>
          <w:szCs w:val="20"/>
        </w:rPr>
        <w:t>n zijn: een gebrek aan respect of afstand, beledigend taalgebruik, maar ook groter. Bij discriminatie, agressie of intimidatie is het geen kleinigheid meer. Bij sexueel misbruik of financiële malversaties gaat het zelfs over strafbare feiten.</w:t>
      </w:r>
    </w:p>
    <w:p w:rsidR="00EB7E4D" w:rsidRDefault="006058A8">
      <w:pPr>
        <w:spacing w:line="276" w:lineRule="auto"/>
        <w:rPr>
          <w:rFonts w:ascii="Verdana" w:hAnsi="Verdana" w:cs="Verdana"/>
          <w:sz w:val="20"/>
          <w:szCs w:val="20"/>
        </w:rPr>
      </w:pPr>
      <w:r>
        <w:rPr>
          <w:rFonts w:ascii="Verdana" w:hAnsi="Verdana" w:cs="Verdana"/>
          <w:sz w:val="20"/>
          <w:szCs w:val="20"/>
        </w:rPr>
        <w:t xml:space="preserve">Maar ook als </w:t>
      </w:r>
      <w:r>
        <w:rPr>
          <w:rFonts w:ascii="Verdana" w:hAnsi="Verdana" w:cs="Verdana"/>
          <w:sz w:val="20"/>
          <w:szCs w:val="20"/>
        </w:rPr>
        <w:t>een IVN-er niet respectvol omgaat met de natuur moet er een mogelijkheid zijn om daar iets tegen te doen. Iemand die zich daaraan stoort moet een klacht kunnen neerleggen die vervolgens serieus genomen wordt.</w:t>
      </w:r>
    </w:p>
    <w:p w:rsidR="00EB7E4D" w:rsidRDefault="006058A8">
      <w:pPr>
        <w:spacing w:line="276" w:lineRule="auto"/>
        <w:rPr>
          <w:rFonts w:ascii="Verdana" w:hAnsi="Verdana" w:cs="Verdana"/>
          <w:sz w:val="20"/>
          <w:szCs w:val="20"/>
        </w:rPr>
      </w:pPr>
    </w:p>
    <w:p w:rsidR="00EB7E4D" w:rsidRDefault="006058A8">
      <w:pPr>
        <w:spacing w:line="276" w:lineRule="auto"/>
        <w:rPr>
          <w:rFonts w:ascii="Verdana" w:hAnsi="Verdana" w:cs="Verdana"/>
          <w:sz w:val="24"/>
          <w:szCs w:val="24"/>
        </w:rPr>
      </w:pPr>
    </w:p>
    <w:p w:rsidR="00EB7E4D" w:rsidRDefault="006058A8">
      <w:pPr>
        <w:pStyle w:val="Lijstalinea"/>
        <w:numPr>
          <w:ilvl w:val="0"/>
          <w:numId w:val="2"/>
        </w:numPr>
        <w:spacing w:after="0"/>
        <w:rPr>
          <w:rFonts w:ascii="Verdana" w:hAnsi="Verdana" w:cs="Verdana"/>
          <w:sz w:val="20"/>
          <w:szCs w:val="20"/>
        </w:rPr>
      </w:pPr>
      <w:r>
        <w:rPr>
          <w:rFonts w:ascii="Verdana" w:hAnsi="Verdana" w:cs="Verdana"/>
          <w:sz w:val="24"/>
          <w:szCs w:val="24"/>
        </w:rPr>
        <w:t>Waarheen met een klacht: de Vertrouwenspersoo</w:t>
      </w:r>
      <w:r>
        <w:rPr>
          <w:rFonts w:ascii="Verdana" w:hAnsi="Verdana" w:cs="Verdana"/>
          <w:sz w:val="24"/>
          <w:szCs w:val="24"/>
        </w:rPr>
        <w:t>n en het bestuur.</w:t>
      </w:r>
    </w:p>
    <w:p w:rsidR="00EB7E4D" w:rsidRDefault="006058A8">
      <w:pPr>
        <w:spacing w:line="276" w:lineRule="auto"/>
        <w:rPr>
          <w:rFonts w:ascii="Verdana" w:hAnsi="Verdana" w:cs="Verdana"/>
          <w:sz w:val="20"/>
          <w:szCs w:val="20"/>
        </w:rPr>
      </w:pPr>
    </w:p>
    <w:p w:rsidR="00EB7E4D" w:rsidRDefault="006058A8">
      <w:pPr>
        <w:spacing w:line="276" w:lineRule="auto"/>
        <w:rPr>
          <w:rFonts w:ascii="Verdana" w:hAnsi="Verdana" w:cs="Verdana"/>
          <w:sz w:val="20"/>
          <w:szCs w:val="20"/>
        </w:rPr>
      </w:pPr>
      <w:r>
        <w:rPr>
          <w:rFonts w:ascii="Verdana" w:hAnsi="Verdana" w:cs="Verdana"/>
          <w:sz w:val="20"/>
          <w:szCs w:val="20"/>
        </w:rPr>
        <w:t>Wie een klacht heeft zou in eerste instantie de IVNer die wordt aangeklaagd daarop kunnen aanspreken. Dat is altijd de kortste en meest directe weg. Maar dat is niet iedereen gegeven en zeker niet in alle omstandigheden.</w:t>
      </w:r>
    </w:p>
    <w:p w:rsidR="00EB7E4D" w:rsidRDefault="006058A8">
      <w:pPr>
        <w:spacing w:line="276" w:lineRule="auto"/>
        <w:rPr>
          <w:rFonts w:ascii="Verdana" w:hAnsi="Verdana" w:cs="Verdana"/>
          <w:sz w:val="20"/>
          <w:szCs w:val="20"/>
        </w:rPr>
      </w:pPr>
      <w:r>
        <w:rPr>
          <w:rFonts w:ascii="Verdana" w:hAnsi="Verdana" w:cs="Verdana"/>
          <w:sz w:val="20"/>
          <w:szCs w:val="20"/>
        </w:rPr>
        <w:t>Daarom kun je me</w:t>
      </w:r>
      <w:r>
        <w:rPr>
          <w:rFonts w:ascii="Verdana" w:hAnsi="Verdana" w:cs="Verdana"/>
          <w:sz w:val="20"/>
          <w:szCs w:val="20"/>
        </w:rPr>
        <w:t xml:space="preserve">t een klacht over ongewenst gedrag naar een Vertrouwenspersoon. </w:t>
      </w:r>
    </w:p>
    <w:p w:rsidR="00EB7E4D" w:rsidRDefault="006058A8">
      <w:pPr>
        <w:spacing w:line="276" w:lineRule="auto"/>
        <w:rPr>
          <w:rFonts w:ascii="Verdana" w:hAnsi="Verdana" w:cs="Verdana"/>
          <w:sz w:val="20"/>
          <w:szCs w:val="20"/>
        </w:rPr>
      </w:pPr>
      <w:r>
        <w:rPr>
          <w:rFonts w:ascii="Verdana" w:hAnsi="Verdana" w:cs="Verdana"/>
          <w:sz w:val="20"/>
          <w:szCs w:val="20"/>
        </w:rPr>
        <w:t>Dat kan overigens iedereen doen: degene die het ongewenst gedrag zelf heeft ondervonden, maar ook een ouder of leerkracht, een collega-IVN-er, iemand uit het publiek of iemand waarmee uit hoo</w:t>
      </w:r>
      <w:r>
        <w:rPr>
          <w:rFonts w:ascii="Verdana" w:hAnsi="Verdana" w:cs="Verdana"/>
          <w:sz w:val="20"/>
          <w:szCs w:val="20"/>
        </w:rPr>
        <w:t>fde van IVN wordt samengewerkt.</w:t>
      </w:r>
    </w:p>
    <w:p w:rsidR="00EB7E4D" w:rsidRDefault="006058A8">
      <w:pPr>
        <w:spacing w:line="276" w:lineRule="auto"/>
        <w:rPr>
          <w:rFonts w:ascii="Verdana" w:hAnsi="Verdana" w:cs="Verdana"/>
          <w:sz w:val="20"/>
          <w:szCs w:val="20"/>
        </w:rPr>
      </w:pPr>
    </w:p>
    <w:p w:rsidR="00EB7E4D" w:rsidRDefault="006058A8">
      <w:pPr>
        <w:spacing w:line="276" w:lineRule="auto"/>
        <w:rPr>
          <w:rFonts w:ascii="Verdana" w:hAnsi="Verdana" w:cs="Verdana"/>
          <w:sz w:val="20"/>
          <w:szCs w:val="20"/>
        </w:rPr>
      </w:pPr>
      <w:r>
        <w:rPr>
          <w:rFonts w:ascii="Verdana" w:hAnsi="Verdana" w:cs="Verdana"/>
          <w:sz w:val="20"/>
          <w:szCs w:val="20"/>
        </w:rPr>
        <w:t xml:space="preserve">De vereniging heeft twee </w:t>
      </w:r>
      <w:r>
        <w:rPr>
          <w:rFonts w:ascii="Verdana" w:hAnsi="Verdana" w:cs="Verdana"/>
          <w:b/>
          <w:sz w:val="20"/>
          <w:szCs w:val="20"/>
        </w:rPr>
        <w:t>Vertrouwenspersonen</w:t>
      </w:r>
      <w:r>
        <w:rPr>
          <w:rFonts w:ascii="Verdana" w:hAnsi="Verdana" w:cs="Verdana"/>
          <w:sz w:val="20"/>
          <w:szCs w:val="20"/>
        </w:rPr>
        <w:t xml:space="preserve">, bij voorkeur een man en een vrouw, maar waarvan in ieder geval één een vrouw. Deze verhelpt overigens het probleem niet voor je. Hij/zij heeft een luisterend oor, kan meedenken </w:t>
      </w:r>
      <w:r>
        <w:rPr>
          <w:rFonts w:ascii="Verdana" w:hAnsi="Verdana" w:cs="Verdana"/>
          <w:sz w:val="20"/>
          <w:szCs w:val="20"/>
        </w:rPr>
        <w:t xml:space="preserve">over de vraag welke verdere aanpak nuttig is en wie daarbij aan zet is. </w:t>
      </w:r>
    </w:p>
    <w:p w:rsidR="00EB7E4D" w:rsidRDefault="006058A8">
      <w:pPr>
        <w:spacing w:line="276" w:lineRule="auto"/>
        <w:rPr>
          <w:rFonts w:ascii="Verdana" w:hAnsi="Verdana" w:cs="Verdana"/>
          <w:sz w:val="20"/>
          <w:szCs w:val="20"/>
        </w:rPr>
      </w:pPr>
      <w:r>
        <w:rPr>
          <w:rFonts w:ascii="Verdana" w:hAnsi="Verdana" w:cs="Verdana"/>
          <w:sz w:val="20"/>
          <w:szCs w:val="20"/>
        </w:rPr>
        <w:t>De Vertrouwenspersoon helpt de klager de volgende stappen te zetten of het voorval op een andere manier te verwerken. De Vertrouwenspersoon kan verwijzen naar hulpverleners of trainer</w:t>
      </w:r>
      <w:r>
        <w:rPr>
          <w:rFonts w:ascii="Verdana" w:hAnsi="Verdana" w:cs="Verdana"/>
          <w:sz w:val="20"/>
          <w:szCs w:val="20"/>
        </w:rPr>
        <w:t>s en kan een gesprek met de andere partij begeleiden of iemand anders als mediator vragen. De Vertrouwenspersoon helpt de klager de klacht bij bestuur of politie neer te leggen, als er maatregelen jegens de aangeklaagde nodig worden gevonden.</w:t>
      </w:r>
    </w:p>
    <w:p w:rsidR="00EB7E4D" w:rsidRDefault="006058A8">
      <w:pPr>
        <w:spacing w:line="276" w:lineRule="auto"/>
        <w:rPr>
          <w:rFonts w:ascii="Verdana" w:hAnsi="Verdana" w:cs="Verdana"/>
          <w:sz w:val="20"/>
          <w:szCs w:val="20"/>
        </w:rPr>
      </w:pPr>
      <w:r>
        <w:rPr>
          <w:rFonts w:ascii="Verdana" w:hAnsi="Verdana" w:cs="Verdana"/>
          <w:sz w:val="20"/>
          <w:szCs w:val="20"/>
        </w:rPr>
        <w:t>Ook kan een V</w:t>
      </w:r>
      <w:r>
        <w:rPr>
          <w:rFonts w:ascii="Verdana" w:hAnsi="Verdana" w:cs="Verdana"/>
          <w:sz w:val="20"/>
          <w:szCs w:val="20"/>
        </w:rPr>
        <w:t>ertrouwenspersoon meedenken over de vraag: “dat ik me hier aan stoor, ligt dat aan mij of is het echt niet aanvaardbaar?”</w:t>
      </w:r>
    </w:p>
    <w:p w:rsidR="00EB7E4D" w:rsidRDefault="006058A8">
      <w:pPr>
        <w:spacing w:line="276" w:lineRule="auto"/>
        <w:rPr>
          <w:rFonts w:ascii="Verdana" w:hAnsi="Verdana" w:cs="Verdana"/>
          <w:sz w:val="20"/>
          <w:szCs w:val="20"/>
        </w:rPr>
      </w:pPr>
      <w:r>
        <w:rPr>
          <w:rFonts w:ascii="Verdana" w:hAnsi="Verdana" w:cs="Verdana"/>
          <w:sz w:val="20"/>
          <w:szCs w:val="20"/>
        </w:rPr>
        <w:t>Als het gaat om een vermoeden van strafbare feiten zal de vertrouwenspersoon er altijd op aandringen naar de politie te gaan. Voor adv</w:t>
      </w:r>
      <w:r>
        <w:rPr>
          <w:rFonts w:ascii="Verdana" w:hAnsi="Verdana" w:cs="Verdana"/>
          <w:sz w:val="20"/>
          <w:szCs w:val="20"/>
        </w:rPr>
        <w:t xml:space="preserve">ies of voor aangifte. Het </w:t>
      </w:r>
      <w:r>
        <w:rPr>
          <w:rFonts w:ascii="Verdana" w:hAnsi="Verdana" w:cs="Verdana"/>
          <w:sz w:val="20"/>
          <w:szCs w:val="20"/>
        </w:rPr>
        <w:t>is echter de klager zelf die de</w:t>
      </w:r>
      <w:r>
        <w:rPr>
          <w:rFonts w:ascii="Verdana" w:hAnsi="Verdana" w:cs="Verdana"/>
          <w:sz w:val="20"/>
          <w:szCs w:val="20"/>
        </w:rPr>
        <w:t xml:space="preserve"> stappen zet, al dan niet geholpen door of via de Vertrouwenspersoon. </w:t>
      </w:r>
    </w:p>
    <w:p w:rsidR="00EB7E4D" w:rsidRDefault="006058A8">
      <w:pPr>
        <w:spacing w:line="276" w:lineRule="auto"/>
        <w:rPr>
          <w:rFonts w:ascii="Verdana" w:hAnsi="Verdana" w:cs="Verdana"/>
          <w:sz w:val="20"/>
          <w:szCs w:val="20"/>
        </w:rPr>
      </w:pPr>
      <w:r>
        <w:rPr>
          <w:rFonts w:ascii="Verdana" w:hAnsi="Verdana" w:cs="Verdana"/>
          <w:sz w:val="20"/>
          <w:szCs w:val="20"/>
        </w:rPr>
        <w:t>Wat de Vertrouwenspersoon ter ore komt aan klachten blijft ook altijd echt vertrouwelijk. Het bestuur wordt door de Vertrouwensp</w:t>
      </w:r>
      <w:r>
        <w:rPr>
          <w:rFonts w:ascii="Verdana" w:hAnsi="Verdana" w:cs="Verdana"/>
          <w:sz w:val="20"/>
          <w:szCs w:val="20"/>
        </w:rPr>
        <w:t xml:space="preserve">ersoon niet geïnformeerd buiten de klager om. Wel kan altijd de andere Vertrouwenspersoon als klankbord en meedenker worden betrokken. </w:t>
      </w:r>
    </w:p>
    <w:p w:rsidR="00EB7E4D" w:rsidRDefault="006058A8">
      <w:pPr>
        <w:spacing w:line="276" w:lineRule="auto"/>
      </w:pPr>
      <w:r>
        <w:rPr>
          <w:rFonts w:ascii="Verdana" w:hAnsi="Verdana" w:cs="Verdana"/>
          <w:sz w:val="20"/>
          <w:szCs w:val="20"/>
        </w:rPr>
        <w:t>Als door deze strikte vertrouwelijkheid de Vertrouwenspersoon in ernstige gewetensnood komt, bij voorbeeld doordat ander</w:t>
      </w:r>
      <w:r>
        <w:rPr>
          <w:rFonts w:ascii="Verdana" w:hAnsi="Verdana" w:cs="Verdana"/>
          <w:sz w:val="20"/>
          <w:szCs w:val="20"/>
        </w:rPr>
        <w:t>e mensen risico lopen en de reguliere weg van de klager deze gewetensnood niet oplost, dan zal deze zich, bij voorkeur na overleg met de andere Vertrouwenspersoon, alsnog op persoonlijke titel tot het bestuur richten met het verzoek maatregelen te nemen.</w:t>
      </w:r>
    </w:p>
    <w:p w:rsidR="00EB7E4D" w:rsidRDefault="006058A8">
      <w:pPr>
        <w:spacing w:line="276" w:lineRule="auto"/>
      </w:pPr>
    </w:p>
    <w:p w:rsidR="00EB7E4D" w:rsidRPr="00F97527" w:rsidRDefault="006058A8">
      <w:pPr>
        <w:spacing w:line="276" w:lineRule="auto"/>
        <w:rPr>
          <w:rFonts w:ascii="Verdana" w:hAnsi="Verdana" w:cs="Verdana"/>
          <w:sz w:val="20"/>
          <w:szCs w:val="20"/>
        </w:rPr>
      </w:pPr>
      <w:r w:rsidRPr="00F97527">
        <w:rPr>
          <w:rFonts w:ascii="Verdana" w:hAnsi="Verdana" w:cs="Verdana"/>
          <w:sz w:val="20"/>
          <w:szCs w:val="20"/>
        </w:rPr>
        <w:t xml:space="preserve">Aan het bestuur wordt jaarlijks gerapporteerd over soorten klachten, aantallen en ernst,  maar niet over mensen. Door deze vertrouwelijkheid blijft de drempel laag. </w:t>
      </w:r>
    </w:p>
    <w:p w:rsidR="00EB7E4D" w:rsidRPr="00F97527" w:rsidRDefault="006058A8">
      <w:pPr>
        <w:spacing w:line="276" w:lineRule="auto"/>
        <w:rPr>
          <w:rFonts w:ascii="Verdana" w:hAnsi="Verdana" w:cs="Verdana"/>
          <w:sz w:val="20"/>
          <w:szCs w:val="20"/>
        </w:rPr>
      </w:pPr>
    </w:p>
    <w:p w:rsidR="00EB7E4D" w:rsidRPr="00F97527" w:rsidRDefault="006058A8">
      <w:pPr>
        <w:spacing w:line="276" w:lineRule="auto"/>
        <w:rPr>
          <w:rFonts w:ascii="Verdana" w:hAnsi="Verdana"/>
          <w:sz w:val="20"/>
        </w:rPr>
      </w:pPr>
      <w:r w:rsidRPr="00F97527">
        <w:rPr>
          <w:rFonts w:ascii="Verdana" w:hAnsi="Verdana"/>
          <w:b/>
          <w:sz w:val="20"/>
        </w:rPr>
        <w:t>Het bestuur</w:t>
      </w:r>
      <w:r w:rsidRPr="00F97527">
        <w:rPr>
          <w:rFonts w:ascii="Verdana" w:hAnsi="Verdana"/>
          <w:sz w:val="20"/>
        </w:rPr>
        <w:t xml:space="preserve"> gaat na of zij maatregelen moet nemen in de richting van een aangeklaagde IVN</w:t>
      </w:r>
      <w:r w:rsidRPr="00F97527">
        <w:rPr>
          <w:rFonts w:ascii="Verdana" w:hAnsi="Verdana"/>
          <w:sz w:val="20"/>
        </w:rPr>
        <w:t xml:space="preserve">-er, en zo ja, welke.  </w:t>
      </w:r>
      <w:r w:rsidRPr="00F97527">
        <w:rPr>
          <w:rFonts w:ascii="Verdana" w:hAnsi="Verdana" w:cs="Verdana"/>
          <w:sz w:val="20"/>
          <w:szCs w:val="20"/>
        </w:rPr>
        <w:t>Het be</w:t>
      </w:r>
      <w:r w:rsidRPr="00F97527">
        <w:rPr>
          <w:rFonts w:ascii="Verdana" w:hAnsi="Verdana" w:cs="Verdana"/>
          <w:sz w:val="20"/>
          <w:szCs w:val="20"/>
        </w:rPr>
        <w:t>stuur kan –na onderzoek- bij</w:t>
      </w:r>
      <w:r w:rsidRPr="00F97527">
        <w:rPr>
          <w:rFonts w:ascii="Verdana" w:hAnsi="Verdana" w:cs="Verdana"/>
          <w:sz w:val="20"/>
          <w:szCs w:val="20"/>
        </w:rPr>
        <w:t>voorbeeld:</w:t>
      </w:r>
    </w:p>
    <w:p w:rsidR="00EB7E4D" w:rsidRPr="00F97527" w:rsidRDefault="006058A8">
      <w:pPr>
        <w:spacing w:line="276" w:lineRule="auto"/>
        <w:rPr>
          <w:rFonts w:ascii="Verdana" w:hAnsi="Verdana" w:cs="Verdana"/>
          <w:sz w:val="20"/>
          <w:szCs w:val="20"/>
        </w:rPr>
      </w:pPr>
      <w:r w:rsidRPr="00F97527">
        <w:rPr>
          <w:rFonts w:ascii="Verdana" w:hAnsi="Verdana" w:cs="Verdana"/>
          <w:sz w:val="20"/>
          <w:szCs w:val="20"/>
        </w:rPr>
        <w:t xml:space="preserve">a. niets doen, omdat er te weinig aan de hand is;  </w:t>
      </w:r>
    </w:p>
    <w:p w:rsidR="00EB7E4D" w:rsidRPr="00F97527" w:rsidRDefault="006058A8">
      <w:pPr>
        <w:spacing w:line="276" w:lineRule="auto"/>
        <w:rPr>
          <w:rFonts w:ascii="Verdana" w:hAnsi="Verdana" w:cs="Verdana"/>
          <w:sz w:val="20"/>
          <w:szCs w:val="20"/>
        </w:rPr>
      </w:pPr>
      <w:r w:rsidRPr="00F97527">
        <w:rPr>
          <w:rFonts w:ascii="Verdana" w:hAnsi="Verdana" w:cs="Verdana"/>
          <w:sz w:val="20"/>
          <w:szCs w:val="20"/>
        </w:rPr>
        <w:t>b. een bemiddelend gesprek arrangeren, zoals vaak ook al door de Vertrouwenspersoon gedaan zal zijn;</w:t>
      </w:r>
    </w:p>
    <w:p w:rsidR="00EB7E4D" w:rsidRPr="00F97527" w:rsidRDefault="006058A8">
      <w:pPr>
        <w:spacing w:line="276" w:lineRule="auto"/>
        <w:rPr>
          <w:rFonts w:ascii="Verdana" w:hAnsi="Verdana" w:cs="Verdana"/>
          <w:sz w:val="20"/>
          <w:szCs w:val="20"/>
        </w:rPr>
      </w:pPr>
      <w:r w:rsidRPr="00F97527">
        <w:rPr>
          <w:rFonts w:ascii="Verdana" w:hAnsi="Verdana" w:cs="Verdana"/>
          <w:sz w:val="20"/>
          <w:szCs w:val="20"/>
        </w:rPr>
        <w:t>c. de betrokkene een waarschuwing g</w:t>
      </w:r>
      <w:r w:rsidRPr="00F97527">
        <w:rPr>
          <w:rFonts w:ascii="Verdana" w:hAnsi="Verdana" w:cs="Verdana"/>
          <w:sz w:val="20"/>
          <w:szCs w:val="20"/>
        </w:rPr>
        <w:t>even;</w:t>
      </w:r>
    </w:p>
    <w:p w:rsidR="00EB7E4D" w:rsidRPr="00F97527" w:rsidRDefault="006058A8">
      <w:pPr>
        <w:spacing w:line="276" w:lineRule="auto"/>
        <w:rPr>
          <w:rFonts w:ascii="Verdana" w:hAnsi="Verdana" w:cs="Verdana"/>
          <w:sz w:val="20"/>
          <w:szCs w:val="20"/>
        </w:rPr>
      </w:pPr>
      <w:r w:rsidRPr="00F97527">
        <w:rPr>
          <w:rFonts w:ascii="Verdana" w:hAnsi="Verdana" w:cs="Verdana"/>
          <w:sz w:val="20"/>
          <w:szCs w:val="20"/>
        </w:rPr>
        <w:t xml:space="preserve">d. hem of haar schorsen en/of royeren als lid; </w:t>
      </w:r>
    </w:p>
    <w:p w:rsidR="00EB7E4D" w:rsidRPr="00F97527" w:rsidRDefault="006058A8">
      <w:pPr>
        <w:spacing w:line="276" w:lineRule="auto"/>
        <w:rPr>
          <w:rFonts w:ascii="Verdana" w:hAnsi="Verdana" w:cs="Verdana"/>
          <w:sz w:val="20"/>
          <w:szCs w:val="20"/>
        </w:rPr>
      </w:pPr>
      <w:r w:rsidRPr="00F97527">
        <w:rPr>
          <w:rFonts w:ascii="Verdana" w:hAnsi="Verdana" w:cs="Verdana"/>
          <w:sz w:val="20"/>
          <w:szCs w:val="20"/>
        </w:rPr>
        <w:t xml:space="preserve">e. aangifte doen bij de politie. </w:t>
      </w:r>
    </w:p>
    <w:p w:rsidR="00EB7E4D" w:rsidRPr="00F97527" w:rsidRDefault="006058A8">
      <w:pPr>
        <w:spacing w:line="276" w:lineRule="auto"/>
        <w:rPr>
          <w:rFonts w:ascii="Verdana" w:hAnsi="Verdana" w:cs="Verdana"/>
          <w:sz w:val="20"/>
          <w:szCs w:val="20"/>
        </w:rPr>
      </w:pPr>
      <w:r w:rsidRPr="00F97527">
        <w:rPr>
          <w:rFonts w:ascii="Verdana" w:hAnsi="Verdana" w:cs="Verdana"/>
          <w:sz w:val="20"/>
          <w:szCs w:val="20"/>
        </w:rPr>
        <w:t>Als een klacht bij het bestuur komt zal deze altijd eerst de aangeklaagde IVN-er horen.</w:t>
      </w:r>
    </w:p>
    <w:p w:rsidR="00F97527" w:rsidRPr="00F97527" w:rsidRDefault="006058A8">
      <w:pPr>
        <w:spacing w:line="276" w:lineRule="auto"/>
        <w:rPr>
          <w:rFonts w:ascii="Verdana" w:hAnsi="Verdana" w:cs="Verdana"/>
          <w:sz w:val="20"/>
          <w:szCs w:val="20"/>
        </w:rPr>
      </w:pPr>
      <w:r w:rsidRPr="00F97527">
        <w:rPr>
          <w:rFonts w:ascii="Verdana" w:hAnsi="Verdana" w:cs="Verdana"/>
          <w:sz w:val="20"/>
          <w:szCs w:val="20"/>
        </w:rPr>
        <w:t>Ook het bestuur hanteert hierbij maximale discretie in het belang van zowel klag</w:t>
      </w:r>
      <w:r w:rsidRPr="00F97527">
        <w:rPr>
          <w:rFonts w:ascii="Verdana" w:hAnsi="Verdana" w:cs="Verdana"/>
          <w:sz w:val="20"/>
          <w:szCs w:val="20"/>
        </w:rPr>
        <w:t>er als aangeklaagde. De aangeklaagde krijgt daarbij ruim de mogelijkheid om de andere kant van het verhaal te vertellen. Eventueel worden vóór de oordeelsvorming anderen gehoord. Bij een gerechtvaardigd vermoeden van sexueel misbruik zal het bestuur altijd</w:t>
      </w:r>
      <w:r w:rsidRPr="00F97527">
        <w:rPr>
          <w:rFonts w:ascii="Verdana" w:hAnsi="Verdana" w:cs="Verdana"/>
          <w:sz w:val="20"/>
          <w:szCs w:val="20"/>
        </w:rPr>
        <w:t xml:space="preserve"> de politie inlichten.</w:t>
      </w:r>
    </w:p>
    <w:p w:rsidR="00F97527" w:rsidRPr="00F97527" w:rsidRDefault="006058A8">
      <w:pPr>
        <w:spacing w:line="276" w:lineRule="auto"/>
        <w:rPr>
          <w:rFonts w:ascii="Verdana" w:hAnsi="Verdana" w:cs="Verdana"/>
          <w:sz w:val="20"/>
          <w:szCs w:val="20"/>
        </w:rPr>
      </w:pPr>
    </w:p>
    <w:p w:rsidR="00EB7E4D" w:rsidRPr="00F97527" w:rsidRDefault="006058A8">
      <w:pPr>
        <w:spacing w:line="276" w:lineRule="auto"/>
        <w:rPr>
          <w:rFonts w:ascii="Verdana" w:hAnsi="Verdana" w:cs="Verdana"/>
          <w:sz w:val="20"/>
          <w:szCs w:val="20"/>
        </w:rPr>
      </w:pPr>
      <w:r w:rsidRPr="00F97527">
        <w:rPr>
          <w:rFonts w:ascii="Verdana" w:hAnsi="Verdana"/>
          <w:sz w:val="20"/>
        </w:rPr>
        <w:t>Als aangifte wordt gedaan bij de politie, zal het bestuur niet gelijktijdig eigen onderzoek doen.  Het kan overwegen het IVN-lid tijdelijk te schorsen gedurende het politieonderzoek.</w:t>
      </w:r>
    </w:p>
    <w:p w:rsidR="00EB7E4D" w:rsidRPr="00F97527" w:rsidRDefault="006058A8">
      <w:pPr>
        <w:spacing w:line="276" w:lineRule="auto"/>
        <w:rPr>
          <w:rFonts w:ascii="Verdana" w:hAnsi="Verdana" w:cs="Verdana"/>
          <w:sz w:val="20"/>
          <w:szCs w:val="20"/>
        </w:rPr>
      </w:pPr>
    </w:p>
    <w:p w:rsidR="00EB7E4D" w:rsidRDefault="006058A8">
      <w:pPr>
        <w:spacing w:line="276" w:lineRule="auto"/>
        <w:rPr>
          <w:rFonts w:ascii="Verdana" w:hAnsi="Verdana" w:cs="Verdana"/>
          <w:sz w:val="24"/>
          <w:szCs w:val="24"/>
        </w:rPr>
      </w:pPr>
      <w:r w:rsidRPr="00F97527">
        <w:rPr>
          <w:rFonts w:ascii="Verdana" w:hAnsi="Verdana" w:cs="Verdana"/>
          <w:sz w:val="20"/>
          <w:szCs w:val="20"/>
        </w:rPr>
        <w:t xml:space="preserve">Komt een klacht direct bij het bestuur, of </w:t>
      </w:r>
      <w:r w:rsidRPr="00F97527">
        <w:rPr>
          <w:rFonts w:ascii="Verdana" w:hAnsi="Verdana" w:cs="Verdana"/>
          <w:b/>
          <w:sz w:val="20"/>
          <w:szCs w:val="20"/>
        </w:rPr>
        <w:t>bij e</w:t>
      </w:r>
      <w:r w:rsidRPr="00F97527">
        <w:rPr>
          <w:rFonts w:ascii="Verdana" w:hAnsi="Verdana" w:cs="Verdana"/>
          <w:b/>
          <w:sz w:val="20"/>
          <w:szCs w:val="20"/>
        </w:rPr>
        <w:t>en collega IVN-er</w:t>
      </w:r>
      <w:r w:rsidRPr="00F97527">
        <w:rPr>
          <w:rFonts w:ascii="Verdana" w:hAnsi="Verdana" w:cs="Verdana"/>
          <w:sz w:val="20"/>
          <w:szCs w:val="20"/>
        </w:rPr>
        <w:t xml:space="preserve">, dan zal deze de klager in eerste instantie </w:t>
      </w:r>
      <w:r>
        <w:rPr>
          <w:rFonts w:ascii="Verdana" w:hAnsi="Verdana" w:cs="Verdana"/>
          <w:sz w:val="20"/>
          <w:szCs w:val="20"/>
        </w:rPr>
        <w:t>doorverwijzen naar de Vertrouwenspersoon, omdat deze beter in staat is een zaak vertrouwelijk te bespreken en rustig samen met de klager de juiste weg te kiezen.</w:t>
      </w:r>
    </w:p>
    <w:p w:rsidR="00EB7E4D" w:rsidRDefault="006058A8">
      <w:pPr>
        <w:spacing w:line="276" w:lineRule="auto"/>
        <w:rPr>
          <w:rFonts w:ascii="Verdana" w:hAnsi="Verdana" w:cs="Verdana"/>
          <w:sz w:val="24"/>
          <w:szCs w:val="24"/>
        </w:rPr>
      </w:pPr>
    </w:p>
    <w:p w:rsidR="00EB7E4D" w:rsidRDefault="006058A8">
      <w:pPr>
        <w:pStyle w:val="Lijstalinea"/>
        <w:numPr>
          <w:ilvl w:val="0"/>
          <w:numId w:val="2"/>
        </w:numPr>
        <w:spacing w:after="0"/>
        <w:rPr>
          <w:rFonts w:ascii="Verdana" w:hAnsi="Verdana" w:cs="Verdana"/>
          <w:sz w:val="20"/>
          <w:szCs w:val="20"/>
        </w:rPr>
      </w:pPr>
      <w:r>
        <w:rPr>
          <w:rFonts w:ascii="Verdana" w:hAnsi="Verdana" w:cs="Verdana"/>
          <w:sz w:val="24"/>
          <w:szCs w:val="24"/>
        </w:rPr>
        <w:t>Wie is Vertrouwenspersoon.</w:t>
      </w:r>
    </w:p>
    <w:p w:rsidR="00EB7E4D" w:rsidRDefault="006058A8">
      <w:pPr>
        <w:spacing w:line="276" w:lineRule="auto"/>
        <w:rPr>
          <w:rFonts w:ascii="Verdana" w:hAnsi="Verdana" w:cs="Verdana"/>
          <w:sz w:val="20"/>
          <w:szCs w:val="20"/>
        </w:rPr>
      </w:pPr>
    </w:p>
    <w:p w:rsidR="00EB7E4D" w:rsidRDefault="006058A8">
      <w:pPr>
        <w:spacing w:line="276" w:lineRule="auto"/>
        <w:rPr>
          <w:rFonts w:ascii="Verdana" w:hAnsi="Verdana" w:cs="Verdana"/>
          <w:sz w:val="20"/>
          <w:szCs w:val="20"/>
        </w:rPr>
      </w:pPr>
      <w:r>
        <w:rPr>
          <w:rFonts w:ascii="Verdana" w:hAnsi="Verdana" w:cs="Verdana"/>
          <w:sz w:val="20"/>
          <w:szCs w:val="20"/>
        </w:rPr>
        <w:t xml:space="preserve">Er </w:t>
      </w:r>
      <w:r>
        <w:rPr>
          <w:rFonts w:ascii="Verdana" w:hAnsi="Verdana" w:cs="Verdana"/>
          <w:sz w:val="20"/>
          <w:szCs w:val="20"/>
        </w:rPr>
        <w:t xml:space="preserve">zijn twee Vertrouwenspersonen. Ze worden gekozen en benoemd door het Bestuur. </w:t>
      </w:r>
    </w:p>
    <w:p w:rsidR="00EB7E4D" w:rsidRDefault="006058A8">
      <w:pPr>
        <w:spacing w:line="276" w:lineRule="auto"/>
        <w:rPr>
          <w:rFonts w:ascii="Verdana" w:hAnsi="Verdana" w:cs="Verdana"/>
          <w:sz w:val="20"/>
          <w:szCs w:val="20"/>
        </w:rPr>
      </w:pPr>
      <w:r>
        <w:rPr>
          <w:rFonts w:ascii="Verdana" w:hAnsi="Verdana" w:cs="Verdana"/>
          <w:sz w:val="20"/>
          <w:szCs w:val="20"/>
        </w:rPr>
        <w:t xml:space="preserve">In principe voor zes jaar, waarbij steeds verlenging mogelijk is. </w:t>
      </w:r>
    </w:p>
    <w:p w:rsidR="00EB7E4D" w:rsidRDefault="006058A8">
      <w:pPr>
        <w:spacing w:line="276" w:lineRule="auto"/>
        <w:rPr>
          <w:rFonts w:ascii="Verdana" w:hAnsi="Verdana" w:cs="Verdana"/>
          <w:sz w:val="20"/>
          <w:szCs w:val="20"/>
        </w:rPr>
      </w:pPr>
      <w:r>
        <w:rPr>
          <w:rFonts w:ascii="Verdana" w:hAnsi="Verdana" w:cs="Verdana"/>
          <w:sz w:val="20"/>
          <w:szCs w:val="20"/>
        </w:rPr>
        <w:t>Voordat de zes jaren zijn verstreken vraagt het bestuur binnen de vereniging (b.v. het coördinatorenoverleg) o</w:t>
      </w:r>
      <w:r>
        <w:rPr>
          <w:rFonts w:ascii="Verdana" w:hAnsi="Verdana" w:cs="Verdana"/>
          <w:sz w:val="20"/>
          <w:szCs w:val="20"/>
        </w:rPr>
        <w:t xml:space="preserve">m advies of om een voordracht. </w:t>
      </w:r>
    </w:p>
    <w:p w:rsidR="00EB7E4D" w:rsidRDefault="006058A8">
      <w:pPr>
        <w:spacing w:line="276" w:lineRule="auto"/>
        <w:rPr>
          <w:rFonts w:ascii="Verdana" w:hAnsi="Verdana" w:cs="Verdana"/>
          <w:sz w:val="20"/>
          <w:szCs w:val="20"/>
        </w:rPr>
      </w:pPr>
      <w:r>
        <w:rPr>
          <w:rFonts w:ascii="Verdana" w:hAnsi="Verdana" w:cs="Verdana"/>
          <w:sz w:val="20"/>
          <w:szCs w:val="20"/>
        </w:rPr>
        <w:t>Van belang is dat een Vertrouwenspersoon:</w:t>
      </w:r>
    </w:p>
    <w:p w:rsidR="00EB7E4D" w:rsidRDefault="006058A8">
      <w:pPr>
        <w:pStyle w:val="Lijstalinea"/>
        <w:numPr>
          <w:ilvl w:val="0"/>
          <w:numId w:val="1"/>
        </w:numPr>
        <w:spacing w:after="0"/>
        <w:rPr>
          <w:rFonts w:ascii="Verdana" w:hAnsi="Verdana" w:cs="Verdana"/>
          <w:sz w:val="20"/>
          <w:szCs w:val="20"/>
        </w:rPr>
      </w:pPr>
      <w:r>
        <w:rPr>
          <w:rFonts w:ascii="Verdana" w:hAnsi="Verdana" w:cs="Verdana"/>
          <w:sz w:val="20"/>
          <w:szCs w:val="20"/>
        </w:rPr>
        <w:t>Zonder enige twijfel of discussie integer is;</w:t>
      </w:r>
    </w:p>
    <w:p w:rsidR="00EB7E4D" w:rsidRDefault="006058A8">
      <w:pPr>
        <w:pStyle w:val="Lijstalinea"/>
        <w:numPr>
          <w:ilvl w:val="0"/>
          <w:numId w:val="1"/>
        </w:numPr>
        <w:spacing w:after="0"/>
        <w:rPr>
          <w:rFonts w:ascii="Verdana" w:hAnsi="Verdana" w:cs="Verdana"/>
          <w:sz w:val="20"/>
          <w:szCs w:val="20"/>
        </w:rPr>
      </w:pPr>
      <w:r>
        <w:rPr>
          <w:rFonts w:ascii="Verdana" w:hAnsi="Verdana" w:cs="Verdana"/>
          <w:sz w:val="20"/>
          <w:szCs w:val="20"/>
        </w:rPr>
        <w:t>Beschikt over voldoende levenservaring voor enige afstand, maar tegelijkertijd middenin de maatschappij en maatschappelijke ontwikkeling</w:t>
      </w:r>
      <w:r>
        <w:rPr>
          <w:rFonts w:ascii="Verdana" w:hAnsi="Verdana" w:cs="Verdana"/>
          <w:sz w:val="20"/>
          <w:szCs w:val="20"/>
        </w:rPr>
        <w:t>en staat;</w:t>
      </w:r>
    </w:p>
    <w:p w:rsidR="00EB7E4D" w:rsidRDefault="006058A8">
      <w:pPr>
        <w:pStyle w:val="Lijstalinea"/>
        <w:numPr>
          <w:ilvl w:val="0"/>
          <w:numId w:val="1"/>
        </w:numPr>
        <w:spacing w:after="0"/>
        <w:rPr>
          <w:rFonts w:ascii="Verdana" w:hAnsi="Verdana" w:cs="Verdana"/>
          <w:sz w:val="20"/>
          <w:szCs w:val="20"/>
        </w:rPr>
      </w:pPr>
      <w:r>
        <w:rPr>
          <w:rFonts w:ascii="Verdana" w:hAnsi="Verdana" w:cs="Verdana"/>
          <w:sz w:val="20"/>
          <w:szCs w:val="20"/>
        </w:rPr>
        <w:t>Kennis heeft van mogelijke hulpverlenings- of doorverwijsadressen;</w:t>
      </w:r>
    </w:p>
    <w:p w:rsidR="00EB7E4D" w:rsidRDefault="006058A8">
      <w:pPr>
        <w:pStyle w:val="Lijstalinea"/>
        <w:numPr>
          <w:ilvl w:val="0"/>
          <w:numId w:val="1"/>
        </w:numPr>
        <w:spacing w:after="0"/>
        <w:rPr>
          <w:rFonts w:ascii="Verdana" w:hAnsi="Verdana" w:cs="Verdana"/>
          <w:sz w:val="20"/>
          <w:szCs w:val="20"/>
        </w:rPr>
      </w:pPr>
      <w:r>
        <w:rPr>
          <w:rFonts w:ascii="Verdana" w:hAnsi="Verdana" w:cs="Verdana"/>
          <w:sz w:val="20"/>
          <w:szCs w:val="20"/>
        </w:rPr>
        <w:t xml:space="preserve">Beschikt over communicatieve vaardigheden die hem/haar in staat stellen goed te luisteren, zich in te leven, een conflictgesprek te begeleiden en duidelijk te zijn over het eigen </w:t>
      </w:r>
      <w:r>
        <w:rPr>
          <w:rFonts w:ascii="Verdana" w:hAnsi="Verdana" w:cs="Verdana"/>
          <w:sz w:val="20"/>
          <w:szCs w:val="20"/>
        </w:rPr>
        <w:t xml:space="preserve">advies. </w:t>
      </w:r>
    </w:p>
    <w:p w:rsidR="00EB7E4D" w:rsidRDefault="006058A8">
      <w:pPr>
        <w:pStyle w:val="Lijstalinea"/>
        <w:numPr>
          <w:ilvl w:val="0"/>
          <w:numId w:val="1"/>
        </w:numPr>
        <w:spacing w:after="0"/>
        <w:rPr>
          <w:rFonts w:ascii="Verdana" w:hAnsi="Verdana" w:cs="Verdana"/>
          <w:sz w:val="20"/>
          <w:szCs w:val="20"/>
        </w:rPr>
      </w:pPr>
      <w:r>
        <w:rPr>
          <w:rFonts w:ascii="Verdana" w:hAnsi="Verdana" w:cs="Verdana"/>
          <w:sz w:val="20"/>
          <w:szCs w:val="20"/>
        </w:rPr>
        <w:t>Beschikt over een Verklaring Omtrent het Gedrag.</w:t>
      </w:r>
    </w:p>
    <w:p w:rsidR="00EB7E4D" w:rsidRDefault="006058A8">
      <w:pPr>
        <w:spacing w:line="276" w:lineRule="auto"/>
        <w:rPr>
          <w:rFonts w:ascii="Verdana" w:hAnsi="Verdana" w:cs="Verdana"/>
          <w:sz w:val="20"/>
          <w:szCs w:val="20"/>
        </w:rPr>
      </w:pPr>
    </w:p>
    <w:p w:rsidR="00EB7E4D" w:rsidRDefault="006058A8">
      <w:pPr>
        <w:spacing w:line="276" w:lineRule="auto"/>
        <w:rPr>
          <w:rFonts w:ascii="Verdana" w:hAnsi="Verdana" w:cs="Verdana"/>
          <w:sz w:val="20"/>
          <w:szCs w:val="20"/>
        </w:rPr>
      </w:pPr>
    </w:p>
    <w:p w:rsidR="00EB7E4D" w:rsidRDefault="006058A8">
      <w:pPr>
        <w:spacing w:line="276" w:lineRule="auto"/>
        <w:rPr>
          <w:rFonts w:ascii="Verdana" w:hAnsi="Verdana" w:cs="Verdana"/>
          <w:sz w:val="20"/>
          <w:szCs w:val="20"/>
        </w:rPr>
      </w:pPr>
    </w:p>
    <w:p w:rsidR="00EB7E4D" w:rsidRDefault="006058A8">
      <w:pPr>
        <w:spacing w:line="276" w:lineRule="auto"/>
        <w:jc w:val="center"/>
        <w:rPr>
          <w:rFonts w:ascii="Verdana" w:hAnsi="Verdana" w:cs="Verdana"/>
          <w:sz w:val="20"/>
          <w:szCs w:val="20"/>
        </w:rPr>
      </w:pPr>
      <w:r>
        <w:rPr>
          <w:rFonts w:ascii="Verdana" w:hAnsi="Verdana" w:cs="Verdana"/>
          <w:sz w:val="20"/>
          <w:szCs w:val="20"/>
        </w:rPr>
        <w:t>_________________________________</w:t>
      </w:r>
    </w:p>
    <w:p w:rsidR="00EB7E4D" w:rsidRDefault="006058A8">
      <w:pPr>
        <w:rPr>
          <w:rFonts w:ascii="Verdana" w:hAnsi="Verdana" w:cs="Verdana"/>
          <w:sz w:val="20"/>
          <w:szCs w:val="20"/>
        </w:rPr>
      </w:pPr>
    </w:p>
    <w:p w:rsidR="00EB7E4D" w:rsidRDefault="006058A8">
      <w:pPr>
        <w:rPr>
          <w:rFonts w:ascii="Verdana" w:hAnsi="Verdana" w:cs="Verdana"/>
          <w:sz w:val="20"/>
          <w:szCs w:val="20"/>
        </w:rPr>
      </w:pPr>
    </w:p>
    <w:p w:rsidR="00EB7E4D" w:rsidRDefault="006058A8">
      <w:pPr>
        <w:rPr>
          <w:rFonts w:ascii="Verdana" w:hAnsi="Verdana" w:cs="Verdana"/>
          <w:sz w:val="20"/>
          <w:szCs w:val="20"/>
        </w:rPr>
      </w:pPr>
    </w:p>
    <w:p w:rsidR="00EB7E4D" w:rsidRDefault="006058A8">
      <w:pPr>
        <w:rPr>
          <w:rFonts w:ascii="Verdana" w:hAnsi="Verdana" w:cs="Verdana"/>
          <w:sz w:val="20"/>
          <w:szCs w:val="20"/>
        </w:rPr>
      </w:pPr>
    </w:p>
    <w:p w:rsidR="00EB7E4D" w:rsidRDefault="006058A8">
      <w:pPr>
        <w:rPr>
          <w:rFonts w:ascii="Verdana" w:hAnsi="Verdana" w:cs="Verdana"/>
          <w:sz w:val="20"/>
          <w:szCs w:val="20"/>
        </w:rPr>
      </w:pPr>
    </w:p>
    <w:p w:rsidR="00EB7E4D" w:rsidRDefault="006058A8">
      <w:pPr>
        <w:rPr>
          <w:rFonts w:ascii="Verdana" w:hAnsi="Verdana" w:cs="Verdana"/>
          <w:sz w:val="20"/>
          <w:szCs w:val="20"/>
        </w:rPr>
      </w:pPr>
    </w:p>
    <w:p w:rsidR="00EB7E4D" w:rsidRDefault="006058A8">
      <w:pPr>
        <w:rPr>
          <w:rFonts w:ascii="Verdana" w:hAnsi="Verdana" w:cs="Verdana"/>
          <w:sz w:val="20"/>
          <w:szCs w:val="20"/>
        </w:rPr>
      </w:pPr>
    </w:p>
    <w:p w:rsidR="00EB7E4D" w:rsidRDefault="006058A8">
      <w:pPr>
        <w:rPr>
          <w:rFonts w:ascii="Verdana" w:hAnsi="Verdana" w:cs="Verdana"/>
          <w:sz w:val="20"/>
          <w:szCs w:val="20"/>
        </w:rPr>
      </w:pPr>
    </w:p>
    <w:p w:rsidR="00EB7E4D" w:rsidRDefault="006058A8">
      <w:pPr>
        <w:rPr>
          <w:rFonts w:ascii="Verdana" w:hAnsi="Verdana" w:cs="Verdana"/>
          <w:sz w:val="20"/>
          <w:szCs w:val="20"/>
        </w:rPr>
      </w:pPr>
    </w:p>
    <w:p w:rsidR="00EB7E4D" w:rsidRDefault="006058A8">
      <w:pPr>
        <w:rPr>
          <w:rFonts w:ascii="Verdana" w:hAnsi="Verdana" w:cs="Verdana"/>
          <w:sz w:val="20"/>
          <w:szCs w:val="20"/>
        </w:rPr>
      </w:pPr>
    </w:p>
    <w:p w:rsidR="00EB7E4D" w:rsidRDefault="006058A8">
      <w:pPr>
        <w:rPr>
          <w:rFonts w:ascii="Verdana" w:hAnsi="Verdana" w:cs="Verdana"/>
          <w:sz w:val="20"/>
          <w:szCs w:val="20"/>
        </w:rPr>
      </w:pPr>
    </w:p>
    <w:p w:rsidR="00EB7E4D" w:rsidRDefault="006058A8">
      <w:pPr>
        <w:rPr>
          <w:rFonts w:ascii="Verdana" w:hAnsi="Verdana" w:cs="Verdana"/>
          <w:sz w:val="20"/>
          <w:szCs w:val="20"/>
        </w:rPr>
      </w:pPr>
    </w:p>
    <w:p w:rsidR="00EB7E4D" w:rsidRDefault="006058A8">
      <w:pPr>
        <w:rPr>
          <w:rFonts w:ascii="Verdana" w:hAnsi="Verdana" w:cs="Verdana"/>
          <w:sz w:val="20"/>
          <w:szCs w:val="20"/>
        </w:rPr>
      </w:pPr>
    </w:p>
    <w:p w:rsidR="00EB7E4D" w:rsidRDefault="006058A8">
      <w:pPr>
        <w:rPr>
          <w:rFonts w:ascii="Verdana" w:hAnsi="Verdana" w:cs="Verdana"/>
          <w:sz w:val="20"/>
          <w:szCs w:val="20"/>
        </w:rPr>
      </w:pPr>
    </w:p>
    <w:p w:rsidR="00EB7E4D" w:rsidRDefault="006058A8">
      <w:pPr>
        <w:rPr>
          <w:rFonts w:ascii="Verdana" w:hAnsi="Verdana" w:cs="Verdana"/>
          <w:sz w:val="20"/>
          <w:szCs w:val="20"/>
        </w:rPr>
      </w:pPr>
    </w:p>
    <w:p w:rsidR="00EB7E4D" w:rsidRDefault="006058A8"/>
    <w:sectPr w:rsidR="00EB7E4D">
      <w:headerReference w:type="first" r:id="rId5"/>
      <w:footerReference w:type="first" r:id="rId6"/>
      <w:pgSz w:w="11906" w:h="16838"/>
      <w:pgMar w:top="1418" w:right="1418" w:bottom="1418" w:left="1418" w:header="709" w:footer="709" w:gutter="0"/>
      <w:titlePg/>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egoe UI">
    <w:panose1 w:val="00000000000000000000"/>
    <w:charset w:val="4D"/>
    <w:family w:val="roman"/>
    <w:notTrueType/>
    <w:pitch w:val="default"/>
    <w:sig w:usb0="00000003" w:usb1="00000000" w:usb2="00000000" w:usb3="00000000" w:csb0="00000001" w:csb1="00000000"/>
  </w:font>
  <w:font w:name="Liberation Sans">
    <w:altName w:val="Arial"/>
    <w:charset w:val="01"/>
    <w:family w:val="swiss"/>
    <w:pitch w:val="variable"/>
    <w:sig w:usb0="00000000" w:usb1="00000000" w:usb2="00000000" w:usb3="00000000" w:csb0="00000000" w:csb1="00000000"/>
  </w:font>
  <w:font w:name="Arial Unicode MS">
    <w:panose1 w:val="020B06040202020202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527" w:rsidRDefault="006058A8">
    <w:pPr>
      <w:pStyle w:val="Voettekst"/>
    </w:pPr>
    <w:r>
      <w:rPr>
        <w:rStyle w:val="Paginanummer"/>
      </w:rPr>
      <w:tab/>
    </w:r>
    <w:r>
      <w:rPr>
        <w:rStyle w:val="Paginanummer"/>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2088"/>
      <w:gridCol w:w="4320"/>
      <w:gridCol w:w="2878"/>
    </w:tblGrid>
    <w:tr w:rsidR="00F97527">
      <w:tc>
        <w:tcPr>
          <w:tcW w:w="2088" w:type="dxa"/>
          <w:shd w:val="clear" w:color="auto" w:fill="auto"/>
        </w:tcPr>
        <w:p w:rsidR="00F97527" w:rsidRDefault="006058A8">
          <w:pPr>
            <w:pStyle w:val="Koptekst"/>
          </w:pPr>
          <w:r>
            <w:rPr>
              <w:noProof/>
              <w:lang w:val="en-US" w:eastAsia="en-US"/>
            </w:rPr>
            <w:drawing>
              <wp:inline distT="0" distB="0" distL="0" distR="0">
                <wp:extent cx="1193800" cy="977900"/>
                <wp:effectExtent l="25400" t="0" r="0" b="0"/>
                <wp:docPr id="1" name="Picture 1" descr="IVN_logo_beeldm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N_logo_beeldmerk"/>
                        <pic:cNvPicPr>
                          <a:picLocks noChangeAspect="1" noChangeArrowheads="1"/>
                        </pic:cNvPicPr>
                      </pic:nvPicPr>
                      <pic:blipFill>
                        <a:blip r:embed="rId1"/>
                        <a:srcRect/>
                        <a:stretch>
                          <a:fillRect/>
                        </a:stretch>
                      </pic:blipFill>
                      <pic:spPr bwMode="auto">
                        <a:xfrm>
                          <a:off x="0" y="0"/>
                          <a:ext cx="1193800" cy="977900"/>
                        </a:xfrm>
                        <a:prstGeom prst="rect">
                          <a:avLst/>
                        </a:prstGeom>
                        <a:noFill/>
                        <a:ln w="9525">
                          <a:noFill/>
                          <a:miter lim="800000"/>
                          <a:headEnd/>
                          <a:tailEnd/>
                        </a:ln>
                      </pic:spPr>
                    </pic:pic>
                  </a:graphicData>
                </a:graphic>
              </wp:inline>
            </w:drawing>
          </w:r>
        </w:p>
      </w:tc>
      <w:tc>
        <w:tcPr>
          <w:tcW w:w="4320" w:type="dxa"/>
          <w:shd w:val="clear" w:color="auto" w:fill="auto"/>
        </w:tcPr>
        <w:p w:rsidR="00F97527" w:rsidRDefault="006058A8">
          <w:pPr>
            <w:pStyle w:val="Koptekst"/>
            <w:snapToGrid w:val="0"/>
            <w:rPr>
              <w:lang w:val="en-US" w:eastAsia="en-US"/>
            </w:rPr>
          </w:pPr>
          <w:r>
            <w:pict>
              <v:shapetype id="_x0000_t202" coordsize="21600,21600" o:spt="202" path="m0,0l0,21600,21600,21600,21600,0xe">
                <v:stroke joinstyle="miter"/>
                <v:path gradientshapeok="t" o:connecttype="rect"/>
              </v:shapetype>
              <v:shape id="_x0000_s1027" type="#_x0000_t202" style="position:absolute;margin-left:-5.4pt;margin-top:34.95pt;width:224.95pt;height:35.95pt;z-index:251657216;mso-wrap-distance-left:9.05pt;mso-wrap-distance-right:9.05pt;mso-position-horizontal-relative:text;mso-position-vertical-relative:text" stroked="f">
                <v:fill color2="black"/>
                <v:textbox inset="0,0,0,0">
                  <w:txbxContent>
                    <w:p w:rsidR="00F97527" w:rsidRDefault="006058A8">
                      <w:r>
                        <w:rPr>
                          <w:rFonts w:ascii="Palatino" w:hAnsi="Palatino" w:cs="Palatino"/>
                          <w:i/>
                          <w:sz w:val="44"/>
                          <w:szCs w:val="44"/>
                        </w:rPr>
                        <w:t>IVN Oost-Veluwezoom</w:t>
                      </w:r>
                    </w:p>
                  </w:txbxContent>
                </v:textbox>
              </v:shape>
            </w:pict>
          </w:r>
        </w:p>
      </w:tc>
      <w:tc>
        <w:tcPr>
          <w:tcW w:w="2878" w:type="dxa"/>
          <w:shd w:val="clear" w:color="auto" w:fill="auto"/>
        </w:tcPr>
        <w:p w:rsidR="00F97527" w:rsidRDefault="006058A8">
          <w:pPr>
            <w:pStyle w:val="Koptekst"/>
            <w:jc w:val="right"/>
          </w:pPr>
          <w:r>
            <w:pict>
              <v:shape id="_x0000_s1028" type="#_x0000_t202" style="position:absolute;left:0;text-align:left;margin-left:-5.4pt;margin-top:-.3pt;width:134.95pt;height:64pt;z-index:251658240;mso-wrap-distance-left:9.05pt;mso-wrap-distance-right:9.05pt;mso-position-horizontal-relative:text;mso-position-vertical-relative:text" stroked="f">
                <v:fill color2="black"/>
                <v:textbox inset="0,0,0,0">
                  <w:txbxContent>
                    <w:p w:rsidR="00F97527" w:rsidRDefault="006058A8">
                      <w:pPr>
                        <w:pStyle w:val="Koptekst"/>
                        <w:jc w:val="right"/>
                        <w:rPr>
                          <w:rFonts w:ascii="Palatino" w:hAnsi="Palatino"/>
                          <w:i/>
                          <w:sz w:val="16"/>
                          <w:szCs w:val="16"/>
                        </w:rPr>
                      </w:pPr>
                    </w:p>
                    <w:p w:rsidR="00F97527" w:rsidRDefault="006058A8">
                      <w:pPr>
                        <w:pStyle w:val="Koptekst"/>
                        <w:jc w:val="right"/>
                        <w:rPr>
                          <w:rFonts w:ascii="Palatino" w:hAnsi="Palatino"/>
                          <w:i/>
                          <w:sz w:val="16"/>
                          <w:szCs w:val="16"/>
                        </w:rPr>
                      </w:pPr>
                      <w:r>
                        <w:rPr>
                          <w:rFonts w:ascii="Palatino" w:hAnsi="Palatino"/>
                          <w:i/>
                          <w:sz w:val="16"/>
                          <w:szCs w:val="16"/>
                        </w:rPr>
                        <w:t>Secretaris:</w:t>
                      </w:r>
                    </w:p>
                    <w:p w:rsidR="00F97527" w:rsidRDefault="006058A8">
                      <w:pPr>
                        <w:pStyle w:val="Koptekst"/>
                        <w:jc w:val="right"/>
                        <w:rPr>
                          <w:rFonts w:ascii="Palatino" w:hAnsi="Palatino"/>
                          <w:i/>
                          <w:sz w:val="16"/>
                          <w:szCs w:val="16"/>
                        </w:rPr>
                      </w:pPr>
                      <w:r>
                        <w:rPr>
                          <w:rFonts w:ascii="Palatino" w:hAnsi="Palatino"/>
                          <w:i/>
                          <w:sz w:val="16"/>
                          <w:szCs w:val="16"/>
                        </w:rPr>
                        <w:t xml:space="preserve">Goudenregenstraat 39 </w:t>
                      </w:r>
                    </w:p>
                    <w:p w:rsidR="00F97527" w:rsidRDefault="006058A8">
                      <w:pPr>
                        <w:pStyle w:val="Koptekst"/>
                        <w:jc w:val="right"/>
                        <w:rPr>
                          <w:rFonts w:ascii="Palatino" w:hAnsi="Palatino"/>
                          <w:i/>
                          <w:sz w:val="16"/>
                          <w:szCs w:val="16"/>
                        </w:rPr>
                      </w:pPr>
                      <w:r>
                        <w:rPr>
                          <w:rFonts w:ascii="Palatino" w:hAnsi="Palatino"/>
                          <w:i/>
                          <w:sz w:val="16"/>
                          <w:szCs w:val="16"/>
                        </w:rPr>
                        <w:t>6921 EG  Duiven</w:t>
                      </w:r>
                    </w:p>
                    <w:p w:rsidR="00F97527" w:rsidRDefault="006058A8">
                      <w:pPr>
                        <w:pStyle w:val="Koptekst"/>
                        <w:jc w:val="right"/>
                        <w:rPr>
                          <w:rFonts w:ascii="Palatino" w:hAnsi="Palatino"/>
                          <w:i/>
                          <w:sz w:val="16"/>
                          <w:szCs w:val="16"/>
                        </w:rPr>
                      </w:pPr>
                      <w:r>
                        <w:rPr>
                          <w:rFonts w:ascii="Palatino" w:hAnsi="Palatino"/>
                          <w:i/>
                          <w:sz w:val="16"/>
                          <w:szCs w:val="16"/>
                        </w:rPr>
                        <w:t>06- 30001120</w:t>
                      </w:r>
                    </w:p>
                    <w:p w:rsidR="00F97527" w:rsidRDefault="006058A8">
                      <w:pPr>
                        <w:pStyle w:val="Koptekst"/>
                        <w:tabs>
                          <w:tab w:val="clear" w:pos="9072"/>
                        </w:tabs>
                        <w:jc w:val="right"/>
                      </w:pPr>
                      <w:r>
                        <w:rPr>
                          <w:rFonts w:ascii="Palatino" w:hAnsi="Palatino"/>
                          <w:i/>
                          <w:sz w:val="16"/>
                          <w:szCs w:val="16"/>
                        </w:rPr>
                        <w:t>secretaris@ivnoostveluwezoom.nl</w:t>
                      </w:r>
                    </w:p>
                  </w:txbxContent>
                </v:textbox>
              </v:shape>
            </w:pict>
          </w:r>
          <w:r>
            <w:rPr>
              <w:lang w:val="en-US" w:eastAsia="en-US"/>
            </w:rPr>
            <w:fldChar w:fldCharType="begin"/>
          </w:r>
          <w:r>
            <w:rPr>
              <w:lang w:val="en-US" w:eastAsia="en-US"/>
            </w:rPr>
            <w:instrText xml:space="preserve"> SHAPE </w:instrText>
          </w:r>
          <w:r>
            <w:rPr>
              <w:lang w:val="en-US" w:eastAsia="en-US"/>
            </w:rPr>
            <w:fldChar w:fldCharType="separate"/>
          </w:r>
          <w:r>
            <w:rPr>
              <w:b/>
              <w:noProof/>
              <w:lang w:val="en-US" w:eastAsia="en-US"/>
            </w:rPr>
            <w:t>Error! No property name supplied.</w:t>
          </w:r>
          <w:r>
            <w:fldChar w:fldCharType="end"/>
          </w:r>
        </w:p>
      </w:tc>
    </w:tr>
    <w:tr w:rsidR="00F97527">
      <w:trPr>
        <w:trHeight w:val="613"/>
      </w:trPr>
      <w:tc>
        <w:tcPr>
          <w:tcW w:w="2088" w:type="dxa"/>
          <w:shd w:val="clear" w:color="auto" w:fill="auto"/>
        </w:tcPr>
        <w:p w:rsidR="00F97527" w:rsidRDefault="006058A8">
          <w:pPr>
            <w:pStyle w:val="Koptekst"/>
            <w:snapToGrid w:val="0"/>
          </w:pPr>
        </w:p>
      </w:tc>
      <w:tc>
        <w:tcPr>
          <w:tcW w:w="7198" w:type="dxa"/>
          <w:gridSpan w:val="2"/>
          <w:shd w:val="clear" w:color="auto" w:fill="auto"/>
        </w:tcPr>
        <w:p w:rsidR="00F97527" w:rsidRDefault="006058A8">
          <w:pPr>
            <w:pStyle w:val="Koptekst"/>
            <w:tabs>
              <w:tab w:val="clear" w:pos="9072"/>
            </w:tabs>
            <w:snapToGrid w:val="0"/>
            <w:jc w:val="right"/>
            <w:rPr>
              <w:sz w:val="16"/>
              <w:szCs w:val="16"/>
            </w:rPr>
          </w:pPr>
        </w:p>
      </w:tc>
    </w:tr>
  </w:tbl>
  <w:p w:rsidR="00F97527" w:rsidRDefault="006058A8">
    <w:pPr>
      <w:pStyle w:val="Koptekst"/>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rPr>
        <w:rFonts w:ascii="Verdana" w:hAnsi="Verdana" w:cs="Calibri" w:hint="default"/>
        <w:sz w:val="20"/>
        <w:szCs w:val="20"/>
      </w:rPr>
    </w:lvl>
  </w:abstractNum>
  <w:abstractNum w:abstractNumId="1">
    <w:nsid w:val="00000002"/>
    <w:multiLevelType w:val="singleLevel"/>
    <w:tmpl w:val="00000002"/>
    <w:name w:val="WW8Num3"/>
    <w:lvl w:ilvl="0">
      <w:start w:val="1"/>
      <w:numFmt w:val="decimal"/>
      <w:lvlText w:val="%1."/>
      <w:lvlJc w:val="left"/>
      <w:pPr>
        <w:tabs>
          <w:tab w:val="num" w:pos="0"/>
        </w:tabs>
        <w:ind w:left="720" w:hanging="360"/>
      </w:pPr>
      <w:rPr>
        <w:rFonts w:ascii="Verdana" w:hAnsi="Verdana" w:cs="Calibri" w:hint="default"/>
        <w:sz w:val="24"/>
        <w:szCs w:val="24"/>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revisionView w:insDel="0" w:formatting="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3074">
      <o:colormenu v:ext="edit" fillcolor="none" strokecolor="none [1]" shadowcolor="none [2]"/>
    </o:shapedefaults>
  </w:hdrShapeDefaults>
  <w:footnotePr>
    <w:pos w:val="beneathText"/>
  </w:footnotePr>
  <w:compat/>
  <w:rsids>
    <w:rsidRoot w:val="00940053"/>
    <w:rsid w:val="006058A8"/>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hAnsi="Arial" w:cs="Arial"/>
      <w:sz w:val="22"/>
      <w:szCs w:val="22"/>
      <w:lang w:val="nl-NL"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Verdana" w:hAnsi="Verdana" w:cs="Verdana" w:hint="default"/>
      <w:sz w:val="20"/>
      <w:szCs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Verdana" w:hAnsi="Verdana" w:cs="Verdana" w:hint="default"/>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Standaardalinea-lettertype">
    <w:name w:val="Standaardalinea-lettertype"/>
  </w:style>
  <w:style w:type="character" w:customStyle="1" w:styleId="KoptekstChar">
    <w:name w:val="Koptekst Char"/>
    <w:rPr>
      <w:rFonts w:ascii="Arial" w:hAnsi="Arial" w:cs="Arial"/>
      <w:sz w:val="22"/>
      <w:szCs w:val="22"/>
      <w:lang w:val="nl-NL" w:bidi="ar-SA"/>
    </w:rPr>
  </w:style>
  <w:style w:type="character" w:styleId="Paginanummer">
    <w:name w:val="Paginanummer"/>
    <w:basedOn w:val="Standaardalinea-lettertype"/>
  </w:style>
  <w:style w:type="character" w:customStyle="1" w:styleId="BallontekstChar">
    <w:name w:val="Ballontekst Char"/>
    <w:rPr>
      <w:rFonts w:ascii="Segoe UI" w:hAnsi="Segoe UI" w:cs="Segoe UI"/>
      <w:sz w:val="18"/>
      <w:szCs w:val="18"/>
    </w:rPr>
  </w:style>
  <w:style w:type="paragraph" w:customStyle="1" w:styleId="Kop">
    <w:name w:val="Kop"/>
    <w:basedOn w:val="Normal"/>
    <w:next w:val="Tekstblok"/>
    <w:pPr>
      <w:keepNext/>
      <w:spacing w:before="240" w:after="120"/>
    </w:pPr>
    <w:rPr>
      <w:rFonts w:ascii="Liberation Sans" w:eastAsia="Arial Unicode MS" w:hAnsi="Liberation Sans" w:cs="Arial Unicode MS"/>
      <w:sz w:val="28"/>
      <w:szCs w:val="28"/>
    </w:rPr>
  </w:style>
  <w:style w:type="paragraph" w:styleId="Tekstblok">
    <w:name w:val="Tekstblok"/>
    <w:basedOn w:val="Normal"/>
    <w:pPr>
      <w:spacing w:after="140" w:line="288" w:lineRule="auto"/>
    </w:pPr>
  </w:style>
  <w:style w:type="paragraph" w:styleId="Lijst">
    <w:name w:val="Lijst"/>
    <w:basedOn w:val="Tekstblok"/>
  </w:style>
  <w:style w:type="paragraph" w:styleId="Bijschrift">
    <w:name w:val="Bijschrift"/>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Koptekst">
    <w:name w:val="Koptekst"/>
    <w:basedOn w:val="Normal"/>
    <w:pPr>
      <w:tabs>
        <w:tab w:val="center" w:pos="4536"/>
        <w:tab w:val="right" w:pos="9072"/>
      </w:tabs>
    </w:pPr>
  </w:style>
  <w:style w:type="paragraph" w:styleId="Voettekst">
    <w:name w:val="Voettekst"/>
    <w:basedOn w:val="Normal"/>
    <w:pPr>
      <w:tabs>
        <w:tab w:val="center" w:pos="4536"/>
        <w:tab w:val="right" w:pos="9072"/>
      </w:tabs>
    </w:pPr>
  </w:style>
  <w:style w:type="paragraph" w:customStyle="1" w:styleId="Ballontekst">
    <w:name w:val="Ballontekst"/>
    <w:basedOn w:val="Normal"/>
    <w:rPr>
      <w:rFonts w:ascii="Segoe UI" w:hAnsi="Segoe UI" w:cs="Segoe UI"/>
      <w:sz w:val="18"/>
      <w:szCs w:val="18"/>
    </w:rPr>
  </w:style>
  <w:style w:type="paragraph" w:customStyle="1" w:styleId="Lijstalinea">
    <w:name w:val="Lijstalinea"/>
    <w:basedOn w:val="Normal"/>
    <w:pPr>
      <w:spacing w:after="200" w:line="276" w:lineRule="auto"/>
      <w:ind w:left="720"/>
      <w:contextualSpacing/>
    </w:pPr>
    <w:rPr>
      <w:rFonts w:ascii="Calibri" w:hAnsi="Calibri" w:cs="Times New Roman"/>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customStyle="1" w:styleId="Frame-inhoud">
    <w:name w:val="Frame-inhoud"/>
    <w:basedOn w:val="Normal"/>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5368</Characters>
  <Application>Microsoft Macintosh Word</Application>
  <DocSecurity>0</DocSecurity>
  <Lines>44</Lines>
  <Paragraphs>10</Paragraphs>
  <ScaleCrop>false</ScaleCrop>
  <HeadingPairs>
    <vt:vector size="2" baseType="variant">
      <vt:variant>
        <vt:lpstr>Title</vt:lpstr>
      </vt:variant>
      <vt:variant>
        <vt:i4>1</vt:i4>
      </vt:variant>
    </vt:vector>
  </HeadingPairs>
  <TitlesOfParts>
    <vt:vector size="1" baseType="lpstr">
      <vt:lpstr>Aan:</vt:lpstr>
    </vt:vector>
  </TitlesOfParts>
  <Company>CLS</Company>
  <LinksUpToDate>false</LinksUpToDate>
  <CharactersWithSpaces>6592</CharactersWithSpaces>
  <SharedDoc>false</SharedDoc>
  <HLinks>
    <vt:vector size="6" baseType="variant">
      <vt:variant>
        <vt:i4>4456517</vt:i4>
      </vt:variant>
      <vt:variant>
        <vt:i4>8559</vt:i4>
      </vt:variant>
      <vt:variant>
        <vt:i4>1025</vt:i4>
      </vt:variant>
      <vt:variant>
        <vt:i4>1</vt:i4>
      </vt:variant>
      <vt:variant>
        <vt:lpwstr>IVN_logo_beeldmerk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dc:title>
  <dc:subject/>
  <dc:creator>Karin</dc:creator>
  <cp:keywords/>
  <dc:description/>
  <cp:lastModifiedBy>Albert Bouwman</cp:lastModifiedBy>
  <cp:revision>2</cp:revision>
  <cp:lastPrinted>2015-04-01T09:46:00Z</cp:lastPrinted>
  <dcterms:created xsi:type="dcterms:W3CDTF">2016-06-08T08:58:00Z</dcterms:created>
  <dcterms:modified xsi:type="dcterms:W3CDTF">2016-06-08T08:58:00Z</dcterms:modified>
</cp:coreProperties>
</file>